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70" w:rsidRDefault="00187F33" w:rsidP="00260970">
      <w:pPr>
        <w:pStyle w:val="NormalWeb"/>
        <w:shd w:val="clear" w:color="auto" w:fill="FFFFFF"/>
        <w:spacing w:before="0" w:beforeAutospacing="0" w:after="0" w:afterAutospacing="0" w:line="276" w:lineRule="auto"/>
        <w:ind w:firstLine="720"/>
        <w:jc w:val="center"/>
        <w:textAlignment w:val="baseline"/>
        <w:rPr>
          <w:rStyle w:val="Strong"/>
          <w:color w:val="000000" w:themeColor="text1"/>
          <w:spacing w:val="5"/>
          <w:sz w:val="28"/>
          <w:szCs w:val="28"/>
          <w:bdr w:val="none" w:sz="0" w:space="0" w:color="auto" w:frame="1"/>
        </w:rPr>
      </w:pPr>
      <w:bookmarkStart w:id="0" w:name="_GoBack"/>
      <w:r w:rsidRPr="00187F33">
        <w:rPr>
          <w:rStyle w:val="Strong"/>
          <w:color w:val="000000" w:themeColor="text1"/>
          <w:spacing w:val="5"/>
          <w:sz w:val="28"/>
          <w:szCs w:val="28"/>
          <w:bdr w:val="none" w:sz="0" w:space="0" w:color="auto" w:frame="1"/>
        </w:rPr>
        <w:t>GỢI Ý VÀ THANG ĐIỂM</w:t>
      </w:r>
      <w:r w:rsidRPr="00187F33">
        <w:rPr>
          <w:rStyle w:val="Strong"/>
          <w:color w:val="000000" w:themeColor="text1"/>
          <w:spacing w:val="5"/>
          <w:sz w:val="28"/>
          <w:szCs w:val="28"/>
          <w:bdr w:val="none" w:sz="0" w:space="0" w:color="auto" w:frame="1"/>
        </w:rPr>
        <w:t xml:space="preserve"> </w:t>
      </w:r>
      <w:r w:rsidRPr="00187F33">
        <w:rPr>
          <w:rStyle w:val="Strong"/>
          <w:color w:val="000000" w:themeColor="text1"/>
          <w:spacing w:val="5"/>
          <w:sz w:val="28"/>
          <w:szCs w:val="28"/>
          <w:bdr w:val="none" w:sz="0" w:space="0" w:color="auto" w:frame="1"/>
        </w:rPr>
        <w:t>CUỘC THI TÌM HIỂU</w:t>
      </w:r>
      <w:r w:rsidR="00260970">
        <w:rPr>
          <w:rStyle w:val="Strong"/>
          <w:color w:val="000000" w:themeColor="text1"/>
          <w:spacing w:val="5"/>
          <w:sz w:val="28"/>
          <w:szCs w:val="28"/>
          <w:bdr w:val="none" w:sz="0" w:space="0" w:color="auto" w:frame="1"/>
        </w:rPr>
        <w:t xml:space="preserve"> </w:t>
      </w:r>
    </w:p>
    <w:p w:rsidR="00187F33" w:rsidRPr="00260970" w:rsidRDefault="00187F33" w:rsidP="00260970">
      <w:pPr>
        <w:pStyle w:val="NormalWeb"/>
        <w:shd w:val="clear" w:color="auto" w:fill="FFFFFF"/>
        <w:spacing w:before="0" w:beforeAutospacing="0" w:after="0" w:afterAutospacing="0" w:line="276" w:lineRule="auto"/>
        <w:ind w:firstLine="720"/>
        <w:jc w:val="center"/>
        <w:textAlignment w:val="baseline"/>
        <w:rPr>
          <w:b/>
          <w:bCs/>
          <w:color w:val="000000" w:themeColor="text1"/>
          <w:spacing w:val="5"/>
          <w:sz w:val="28"/>
          <w:szCs w:val="28"/>
          <w:bdr w:val="none" w:sz="0" w:space="0" w:color="auto" w:frame="1"/>
        </w:rPr>
      </w:pPr>
      <w:r w:rsidRPr="00187F33">
        <w:rPr>
          <w:rStyle w:val="Strong"/>
          <w:color w:val="000000" w:themeColor="text1"/>
          <w:spacing w:val="5"/>
          <w:sz w:val="28"/>
          <w:szCs w:val="28"/>
          <w:bdr w:val="none" w:sz="0" w:space="0" w:color="auto" w:frame="1"/>
        </w:rPr>
        <w:t>LUẬT PHÒNG, CHỐNG MA TUÝ</w:t>
      </w:r>
    </w:p>
    <w:p w:rsidR="00187F33" w:rsidRPr="00187F33" w:rsidRDefault="00187F33" w:rsidP="00260970">
      <w:pPr>
        <w:pStyle w:val="NormalWeb"/>
        <w:shd w:val="clear" w:color="auto" w:fill="FFFFFF"/>
        <w:spacing w:before="0" w:beforeAutospacing="0" w:after="0" w:afterAutospacing="0" w:line="276" w:lineRule="auto"/>
        <w:ind w:firstLine="720"/>
        <w:jc w:val="center"/>
        <w:textAlignment w:val="baseline"/>
        <w:rPr>
          <w:color w:val="000000" w:themeColor="text1"/>
          <w:spacing w:val="5"/>
        </w:rPr>
      </w:pPr>
      <w:r w:rsidRPr="00187F33">
        <w:rPr>
          <w:rStyle w:val="Emphasis"/>
          <w:rFonts w:eastAsiaTheme="majorEastAsia"/>
          <w:color w:val="000000" w:themeColor="text1"/>
          <w:bdr w:val="none" w:sz="0" w:space="0" w:color="auto" w:frame="1"/>
        </w:rPr>
        <w:t>(Áp dụng với hình thức thi tự luận)</w:t>
      </w:r>
    </w:p>
    <w:bookmarkEnd w:id="0"/>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rStyle w:val="Strong"/>
          <w:color w:val="000000" w:themeColor="text1"/>
          <w:spacing w:val="5"/>
          <w:sz w:val="27"/>
          <w:szCs w:val="27"/>
          <w:bdr w:val="none" w:sz="0" w:space="0" w:color="auto" w:frame="1"/>
        </w:rPr>
        <w:t> </w:t>
      </w:r>
    </w:p>
    <w:p w:rsidR="00187F33" w:rsidRPr="00187F33" w:rsidRDefault="00187F33" w:rsidP="00260970">
      <w:pPr>
        <w:pStyle w:val="Heading1"/>
        <w:spacing w:line="276" w:lineRule="auto"/>
        <w:jc w:val="both"/>
      </w:pPr>
      <w:r w:rsidRPr="00187F33">
        <w:rPr>
          <w:rStyle w:val="Strong"/>
          <w:rFonts w:ascii="Times New Roman" w:hAnsi="Times New Roman" w:cs="Times New Roman"/>
          <w:color w:val="000000" w:themeColor="text1"/>
          <w:spacing w:val="5"/>
          <w:sz w:val="27"/>
          <w:szCs w:val="27"/>
          <w:bdr w:val="none" w:sz="0" w:space="0" w:color="auto" w:frame="1"/>
        </w:rPr>
        <w:t>PHẦN I: NỘI DUNG</w:t>
      </w:r>
    </w:p>
    <w:p w:rsidR="00187F33" w:rsidRPr="00187F33" w:rsidRDefault="00187F33" w:rsidP="00260970">
      <w:pPr>
        <w:pStyle w:val="Heading2"/>
        <w:spacing w:line="276" w:lineRule="auto"/>
        <w:jc w:val="both"/>
        <w:rPr>
          <w:rFonts w:ascii="Times New Roman" w:hAnsi="Times New Roman" w:cs="Times New Roman"/>
          <w:color w:val="000000" w:themeColor="text1"/>
          <w:sz w:val="27"/>
          <w:szCs w:val="27"/>
        </w:rPr>
      </w:pPr>
      <w:r w:rsidRPr="00187F33">
        <w:rPr>
          <w:rStyle w:val="Strong"/>
          <w:rFonts w:ascii="Times New Roman" w:hAnsi="Times New Roman" w:cs="Times New Roman"/>
          <w:color w:val="000000" w:themeColor="text1"/>
          <w:spacing w:val="5"/>
          <w:sz w:val="27"/>
          <w:szCs w:val="27"/>
          <w:bdr w:val="none" w:sz="0" w:space="0" w:color="auto" w:frame="1"/>
        </w:rPr>
        <w:t>CÂU 1 (50 điểm): </w:t>
      </w:r>
      <w:r w:rsidRPr="00187F33">
        <w:rPr>
          <w:rFonts w:ascii="Times New Roman" w:hAnsi="Times New Roman" w:cs="Times New Roman"/>
          <w:color w:val="000000" w:themeColor="text1"/>
          <w:sz w:val="27"/>
          <w:szCs w:val="27"/>
          <w:bdr w:val="none" w:sz="0" w:space="0" w:color="auto" w:frame="1"/>
        </w:rPr>
        <w:t>Sự cần thiết ban hành Luật Phòng, chống ma túy năm 2021? Nội dung cơ bản và những điểm mới của Luật?</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rStyle w:val="Strong"/>
          <w:color w:val="000000" w:themeColor="text1"/>
          <w:spacing w:val="5"/>
          <w:sz w:val="27"/>
          <w:szCs w:val="27"/>
          <w:bdr w:val="none" w:sz="0" w:space="0" w:color="auto" w:frame="1"/>
        </w:rPr>
        <w:t>I. Sự cần thiết phải ban hành Luật Phòng, chống ma túy năm 2021 (10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rStyle w:val="Emphasis"/>
          <w:rFonts w:eastAsiaTheme="majorEastAsia"/>
          <w:color w:val="000000" w:themeColor="text1"/>
          <w:sz w:val="27"/>
          <w:szCs w:val="27"/>
          <w:bdr w:val="none" w:sz="0" w:space="0" w:color="auto" w:frame="1"/>
        </w:rPr>
        <w:t>1. Cơ sở chính trị, pháp lý (5,0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 Trích Văn kiện Đại hội Đảng toàn quốc lần thứ XII nêu yêu câu về hoàn thiện hệ thống pháp luật (1,0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 Yêu cầu của Chỉ thị 36-CT/TW ngày 16/8/2019 của Bộ Chính trị về việc hoàn thiện hệ thống pháp luật cho công tác phòng, chống ma túy, trong đó có Luật Phòng, chống ma túy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 Quan điểm chỉ đạo của Chính phủ về việc hoàn thiện cơ chế, chính sách pháp luật về phòng, chống ma túy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rStyle w:val="Emphasis"/>
          <w:rFonts w:eastAsiaTheme="majorEastAsia"/>
          <w:color w:val="000000" w:themeColor="text1"/>
          <w:sz w:val="27"/>
          <w:szCs w:val="27"/>
          <w:bdr w:val="none" w:sz="0" w:space="0" w:color="auto" w:frame="1"/>
        </w:rPr>
        <w:t>2. Cơ sở thực tiễn: Những bất cập của Luật Phòng, chống ma túy năm 2000, sửa đổi, bổ sung năm 2008</w:t>
      </w:r>
      <w:r w:rsidRPr="00187F33">
        <w:rPr>
          <w:color w:val="000000" w:themeColor="text1"/>
          <w:spacing w:val="5"/>
          <w:sz w:val="27"/>
          <w:szCs w:val="27"/>
          <w:bdr w:val="none" w:sz="0" w:space="0" w:color="auto" w:frame="1"/>
        </w:rPr>
        <w:t> </w:t>
      </w:r>
      <w:r w:rsidRPr="00187F33">
        <w:rPr>
          <w:rStyle w:val="Emphasis"/>
          <w:rFonts w:eastAsiaTheme="majorEastAsia"/>
          <w:color w:val="000000" w:themeColor="text1"/>
          <w:sz w:val="27"/>
          <w:szCs w:val="27"/>
          <w:bdr w:val="none" w:sz="0" w:space="0" w:color="auto" w:frame="1"/>
        </w:rPr>
        <w:t>(5,0 điểm)</w:t>
      </w:r>
      <w:r w:rsidRPr="00187F33">
        <w:rPr>
          <w:color w:val="000000" w:themeColor="text1"/>
          <w:spacing w:val="5"/>
          <w:sz w:val="27"/>
          <w:szCs w:val="27"/>
          <w:bdr w:val="none" w:sz="0" w:space="0" w:color="auto" w:frame="1"/>
        </w:rPr>
        <w:t> </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 - Thực trạng người sử dụng trái phép chất ma túy. Sự cấp thiết phải ban hành quy định quản lý người sử dụng trái phép chất ma túy (1,0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 Những bất cập về công tác cai nghiện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 Một số nội dung chưa thống nhất, đồng bộ của Luật Phòng, chống ma túy năm 2000 sửa đổi, bổ sung năm 2008 trong hệ thống pháp luật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rStyle w:val="Strong"/>
          <w:color w:val="000000" w:themeColor="text1"/>
          <w:spacing w:val="5"/>
          <w:sz w:val="27"/>
          <w:szCs w:val="27"/>
          <w:bdr w:val="none" w:sz="0" w:space="0" w:color="auto" w:frame="1"/>
        </w:rPr>
        <w:t>II. Nội dung cơ bản của Luật Phòng, chống ma túy năm 2021 (24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1. Phạm vi điều chỉnh và điều khoản thi hành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2. Giải thích các từ ngữ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3. Chính sách của Nhà nước về phòng, chống ma tuý và nguồn tài chính cho phòng, chống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4. Các hành vi bị nghiêm cấm liên quan đến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5. Trách nhiệm phòng, chống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6. Kiểm soát các hoạt động hợp pháp liên quan đến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7. Các quy định về quản lý người sử dụng trái phép chất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8. Xác định tình trạng nghiện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9. Các quy định về cai nghiện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lastRenderedPageBreak/>
        <w:t>10. Quy định về các cơ sở cai nghiện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11. Quy định về quản lý sau cai nghiện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12. Quản lý nhà nước và hợp tác quốc tế về phòng, chống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rStyle w:val="Strong"/>
          <w:color w:val="000000" w:themeColor="text1"/>
          <w:spacing w:val="5"/>
          <w:sz w:val="27"/>
          <w:szCs w:val="27"/>
          <w:bdr w:val="none" w:sz="0" w:space="0" w:color="auto" w:frame="1"/>
        </w:rPr>
        <w:t>III. Những điểm mới trong Luật Phòng, chống ma túy năm 2021 (16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1. Mở rộng phạm vi áp dụng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2. Chính sách phòng, chống ma tuý được quy định cụ thể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3. Xác định rõ trách nhiệm của cá nhân, gia đình; trách nhiệm của cơ quan chuyên trách phòng, chống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4. Kiểm soát các hoạt động hợp pháp liên quan đến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5. Quản lý người sử dụng trái phép chất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6. Cai nghiện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7. Hợp tác quốc tế về phòng, chống ma tuý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8. Quản lý Nhà nước về phòng, chống ma tuý (2,0 điểm)</w:t>
      </w:r>
    </w:p>
    <w:p w:rsidR="00187F33" w:rsidRPr="00187F33" w:rsidRDefault="00187F33" w:rsidP="00260970">
      <w:pPr>
        <w:pStyle w:val="Heading2"/>
        <w:spacing w:line="276" w:lineRule="auto"/>
        <w:jc w:val="both"/>
        <w:rPr>
          <w:rFonts w:ascii="Times New Roman" w:hAnsi="Times New Roman" w:cs="Times New Roman"/>
          <w:color w:val="000000" w:themeColor="text1"/>
          <w:sz w:val="27"/>
          <w:szCs w:val="27"/>
        </w:rPr>
      </w:pPr>
      <w:r w:rsidRPr="00187F33">
        <w:rPr>
          <w:rStyle w:val="Strong"/>
          <w:rFonts w:ascii="Times New Roman" w:hAnsi="Times New Roman" w:cs="Times New Roman"/>
          <w:color w:val="000000" w:themeColor="text1"/>
          <w:spacing w:val="5"/>
          <w:sz w:val="27"/>
          <w:szCs w:val="27"/>
          <w:bdr w:val="none" w:sz="0" w:space="0" w:color="auto" w:frame="1"/>
        </w:rPr>
        <w:t>Câu 2 (40 điểm):</w:t>
      </w:r>
      <w:r w:rsidRPr="00187F33">
        <w:rPr>
          <w:rFonts w:ascii="Times New Roman" w:hAnsi="Times New Roman" w:cs="Times New Roman"/>
          <w:color w:val="000000" w:themeColor="text1"/>
          <w:sz w:val="27"/>
          <w:szCs w:val="27"/>
          <w:bdr w:val="none" w:sz="0" w:space="0" w:color="auto" w:frame="1"/>
        </w:rPr>
        <w:t> Liên hệ công tác phòng, chống ma túy tại đơn vị hoặc địa phương nơi cư trú? Trách nhiệm của bản thân trong việc thực hiện Luật Phòng, chống ma túy năm 2021?</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rStyle w:val="Strong"/>
          <w:color w:val="000000" w:themeColor="text1"/>
          <w:spacing w:val="5"/>
          <w:sz w:val="27"/>
          <w:szCs w:val="27"/>
          <w:bdr w:val="none" w:sz="0" w:space="0" w:color="auto" w:frame="1"/>
        </w:rPr>
        <w:t>I. Liên hệ công tác phòng, chống ma túy tại đơn vị hoặc địa phương nơi cư trú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1. Trình bày tình hình tệ nạn và tội phạm về ma tuý ở đơn vị công tác/ địa phương nơi cư trú (5,0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2. Tìm hiểu về các cơ quan chức năng phòng, chống ma túy tại đơn vị công tác/ địa phương cư trú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3. Các chính sách, chương trình, kế hoạch, biện pháp phòng, chống ma túy tại đơn vị công tác/ địa phương nơi cư trú đã được áp dụng, triển khai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4. Đánh giá những kết quả đạt được trong công tác phòng, chống ma tuý tại đơn vị công tác/ địa phương cư trú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5. Đánh giá những hạn chế trong công tác phòng chống ma tuý tại đơn vị công tác/ địa phương cư trú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6. Phân tích nguyên nhân của những hạn chế trong công tác phòng chống ma tuý tại đơn vị công tác/ địa phương cư trú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7. Đề xuất giải pháp nâng cao hiệu quả công tác phòng, chống ma tuý tại đơn vị công tác/ địa phương cư trú (5,0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rStyle w:val="Strong"/>
          <w:color w:val="000000" w:themeColor="text1"/>
          <w:spacing w:val="5"/>
          <w:sz w:val="27"/>
          <w:szCs w:val="27"/>
          <w:bdr w:val="none" w:sz="0" w:space="0" w:color="auto" w:frame="1"/>
        </w:rPr>
        <w:t>II. Liên hệ với bản thân trong việc thực hiện Luật Phòng, chống ma túy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rStyle w:val="Emphasis"/>
          <w:rFonts w:eastAsiaTheme="majorEastAsia"/>
          <w:color w:val="000000" w:themeColor="text1"/>
          <w:sz w:val="27"/>
          <w:szCs w:val="27"/>
          <w:bdr w:val="none" w:sz="0" w:space="0" w:color="auto" w:frame="1"/>
        </w:rPr>
        <w:t>(Căn cứ vào từng đối tượng để chấm điểm nội dung này)</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lastRenderedPageBreak/>
        <w:t>1. Nêu được những nhận thức của cá nhân về ma tuý và hậu quả, tác hại của các chất ma tuý (4,0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2. Nêu được những nhận thức của cá nhân về pháp luật phòng, chống ma tuý (4,0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3. Nêu trách nhiệm của cá nhân về trách nhiệm trong phòng, chống tệ nạn và tội phạm ma tuý (4,0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4. Nêu được những hành động cụ thể của cá nhân đã làm được trong công tác phòng, chống tệ nạn và tội phạm ma tuý (4,0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5. Nêu kế hoạch cụ thể của bản thân trong thời gian tới để góp phần đẩy mạnh công tác phòng, chống tệ nạn và tội phạm ma tuý (4,0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 </w:t>
      </w:r>
    </w:p>
    <w:p w:rsidR="00187F33" w:rsidRPr="00187F33" w:rsidRDefault="00187F33" w:rsidP="00260970">
      <w:pPr>
        <w:pStyle w:val="Heading1"/>
        <w:spacing w:line="276" w:lineRule="auto"/>
        <w:jc w:val="both"/>
      </w:pPr>
      <w:r w:rsidRPr="00187F33">
        <w:rPr>
          <w:rStyle w:val="Strong"/>
          <w:rFonts w:ascii="Times New Roman" w:hAnsi="Times New Roman" w:cs="Times New Roman"/>
          <w:color w:val="000000" w:themeColor="text1"/>
          <w:spacing w:val="5"/>
          <w:sz w:val="27"/>
          <w:szCs w:val="27"/>
          <w:bdr w:val="none" w:sz="0" w:space="0" w:color="auto" w:frame="1"/>
        </w:rPr>
        <w:t>PHẦN II: HÌNH THỨC TRÌNH BÀY (10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Hình thức trình bày của bài dự thi được đánh giá dựa trên các tiêu chí sau:</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1. Trình bày đúng thể thức, đúng chính tả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2. Trình bày sạch, đẹp (2,0 điểm) </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3. Có tính sáng tạo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4. Đầu tư công phu, nhiều tranh ảnh, ví dụ minh hoạ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color w:val="000000" w:themeColor="text1"/>
          <w:spacing w:val="5"/>
          <w:sz w:val="27"/>
          <w:szCs w:val="27"/>
          <w:bdr w:val="none" w:sz="0" w:space="0" w:color="auto" w:frame="1"/>
        </w:rPr>
        <w:t>5. Có tính hiệu quả trong công tác tuyên truyền (2,0 điểm)</w:t>
      </w:r>
    </w:p>
    <w:p w:rsidR="00187F33" w:rsidRPr="00187F33" w:rsidRDefault="00187F33" w:rsidP="00260970">
      <w:pPr>
        <w:pStyle w:val="NormalWeb"/>
        <w:shd w:val="clear" w:color="auto" w:fill="FFFFFF"/>
        <w:spacing w:before="0" w:beforeAutospacing="0" w:after="0" w:afterAutospacing="0" w:line="276" w:lineRule="auto"/>
        <w:ind w:firstLine="720"/>
        <w:jc w:val="both"/>
        <w:textAlignment w:val="baseline"/>
        <w:rPr>
          <w:color w:val="000000" w:themeColor="text1"/>
          <w:spacing w:val="5"/>
          <w:sz w:val="27"/>
          <w:szCs w:val="27"/>
        </w:rPr>
      </w:pPr>
      <w:r w:rsidRPr="00187F33">
        <w:rPr>
          <w:rStyle w:val="Strong"/>
          <w:color w:val="000000" w:themeColor="text1"/>
          <w:spacing w:val="5"/>
          <w:sz w:val="27"/>
          <w:szCs w:val="27"/>
          <w:bdr w:val="none" w:sz="0" w:space="0" w:color="auto" w:frame="1"/>
        </w:rPr>
        <w:t>TỔNG ĐIỂM: 100 </w:t>
      </w:r>
    </w:p>
    <w:p w:rsidR="00DE0E63" w:rsidRPr="00187F33" w:rsidRDefault="00260970" w:rsidP="00260970">
      <w:pPr>
        <w:spacing w:line="276" w:lineRule="auto"/>
        <w:jc w:val="both"/>
        <w:rPr>
          <w:rFonts w:ascii="Times New Roman" w:hAnsi="Times New Roman" w:cs="Times New Roman"/>
          <w:color w:val="000000" w:themeColor="text1"/>
        </w:rPr>
      </w:pPr>
    </w:p>
    <w:sectPr w:rsidR="00DE0E63" w:rsidRPr="00187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33"/>
    <w:rsid w:val="00187F33"/>
    <w:rsid w:val="00260970"/>
    <w:rsid w:val="00554FD2"/>
    <w:rsid w:val="00F6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304C"/>
  <w15:chartTrackingRefBased/>
  <w15:docId w15:val="{EB50AA99-37B9-4D31-A3D0-1917DEB5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F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7F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7F33"/>
    <w:rPr>
      <w:b/>
      <w:bCs/>
    </w:rPr>
  </w:style>
  <w:style w:type="character" w:styleId="Emphasis">
    <w:name w:val="Emphasis"/>
    <w:basedOn w:val="DefaultParagraphFont"/>
    <w:uiPriority w:val="20"/>
    <w:qFormat/>
    <w:rsid w:val="00187F33"/>
    <w:rPr>
      <w:i/>
      <w:iCs/>
    </w:rPr>
  </w:style>
  <w:style w:type="character" w:customStyle="1" w:styleId="Heading1Char">
    <w:name w:val="Heading 1 Char"/>
    <w:basedOn w:val="DefaultParagraphFont"/>
    <w:link w:val="Heading1"/>
    <w:uiPriority w:val="9"/>
    <w:rsid w:val="00187F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7F3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Hongnt_is</dc:creator>
  <cp:keywords/>
  <dc:description/>
  <cp:lastModifiedBy>Hongnt_is</cp:lastModifiedBy>
  <cp:revision>2</cp:revision>
  <dcterms:created xsi:type="dcterms:W3CDTF">2023-08-10T04:19:00Z</dcterms:created>
  <dcterms:modified xsi:type="dcterms:W3CDTF">2023-08-10T06:40:00Z</dcterms:modified>
</cp:coreProperties>
</file>